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D42" w:rsidRPr="00670D42" w:rsidRDefault="00670D42" w:rsidP="00670D42">
      <w:pPr>
        <w:pStyle w:val="BodyText"/>
        <w:spacing w:line="285" w:lineRule="auto"/>
        <w:jc w:val="center"/>
        <w:rPr>
          <w:w w:val="105"/>
          <w:u w:val="single"/>
        </w:rPr>
      </w:pPr>
      <w:r w:rsidRPr="00670D42">
        <w:rPr>
          <w:w w:val="105"/>
          <w:u w:val="single"/>
        </w:rPr>
        <w:t>VIRTUAL LEARNING</w:t>
      </w:r>
    </w:p>
    <w:p w:rsidR="008D74AE" w:rsidRPr="00670D42" w:rsidRDefault="00891AA4">
      <w:pPr>
        <w:pStyle w:val="BodyText"/>
        <w:spacing w:line="285" w:lineRule="auto"/>
        <w:rPr>
          <w:w w:val="105"/>
          <w:sz w:val="16"/>
        </w:rPr>
      </w:pPr>
      <w:r w:rsidRPr="00670D42">
        <w:rPr>
          <w:w w:val="105"/>
          <w:sz w:val="16"/>
        </w:rPr>
        <w:t>Senate Bill 603 (2018) and House Bill 1606 (2018) created new requirements for local school districts related to virtual education and access to these courses. The Centerville School District has developed a system in order to be in compliance with these n</w:t>
      </w:r>
      <w:r w:rsidRPr="00670D42">
        <w:rPr>
          <w:w w:val="105"/>
          <w:sz w:val="16"/>
        </w:rPr>
        <w:t>ew laws. Beginning i</w:t>
      </w:r>
      <w:r w:rsidR="00726B43" w:rsidRPr="00670D42">
        <w:rPr>
          <w:w w:val="105"/>
          <w:sz w:val="16"/>
        </w:rPr>
        <w:t>n January 2019, any student in K</w:t>
      </w:r>
      <w:r w:rsidRPr="00670D42">
        <w:rPr>
          <w:w w:val="105"/>
          <w:sz w:val="16"/>
        </w:rPr>
        <w:t>indergarten through 8th grade enrolled in the Centerville School District who was also enrolled as a full-time student the previous semester</w:t>
      </w:r>
      <w:r w:rsidRPr="00670D42">
        <w:rPr>
          <w:spacing w:val="-7"/>
          <w:w w:val="105"/>
          <w:sz w:val="16"/>
        </w:rPr>
        <w:t xml:space="preserve"> </w:t>
      </w:r>
      <w:r w:rsidRPr="00670D42">
        <w:rPr>
          <w:w w:val="105"/>
          <w:sz w:val="16"/>
        </w:rPr>
        <w:t>can</w:t>
      </w:r>
      <w:r w:rsidRPr="00670D42">
        <w:rPr>
          <w:spacing w:val="-15"/>
          <w:w w:val="105"/>
          <w:sz w:val="16"/>
        </w:rPr>
        <w:t xml:space="preserve"> </w:t>
      </w:r>
      <w:r w:rsidRPr="00670D42">
        <w:rPr>
          <w:w w:val="105"/>
          <w:sz w:val="16"/>
        </w:rPr>
        <w:t>opt</w:t>
      </w:r>
      <w:r w:rsidRPr="00670D42">
        <w:rPr>
          <w:spacing w:val="-14"/>
          <w:w w:val="105"/>
          <w:sz w:val="16"/>
        </w:rPr>
        <w:t xml:space="preserve"> </w:t>
      </w:r>
      <w:r w:rsidRPr="00670D42">
        <w:rPr>
          <w:w w:val="105"/>
          <w:sz w:val="16"/>
        </w:rPr>
        <w:t>to</w:t>
      </w:r>
      <w:r w:rsidRPr="00670D42">
        <w:rPr>
          <w:spacing w:val="-19"/>
          <w:w w:val="105"/>
          <w:sz w:val="16"/>
        </w:rPr>
        <w:t xml:space="preserve"> </w:t>
      </w:r>
      <w:r w:rsidRPr="00670D42">
        <w:rPr>
          <w:w w:val="105"/>
          <w:sz w:val="16"/>
        </w:rPr>
        <w:t>take</w:t>
      </w:r>
      <w:r w:rsidRPr="00670D42">
        <w:rPr>
          <w:spacing w:val="-15"/>
          <w:w w:val="105"/>
          <w:sz w:val="16"/>
        </w:rPr>
        <w:t xml:space="preserve"> </w:t>
      </w:r>
      <w:r w:rsidRPr="00670D42">
        <w:rPr>
          <w:w w:val="105"/>
          <w:sz w:val="16"/>
        </w:rPr>
        <w:t>a</w:t>
      </w:r>
      <w:r w:rsidRPr="00670D42">
        <w:rPr>
          <w:spacing w:val="-17"/>
          <w:w w:val="105"/>
          <w:sz w:val="16"/>
        </w:rPr>
        <w:t xml:space="preserve"> </w:t>
      </w:r>
      <w:r w:rsidRPr="00670D42">
        <w:rPr>
          <w:w w:val="105"/>
          <w:sz w:val="16"/>
        </w:rPr>
        <w:t>course</w:t>
      </w:r>
      <w:r w:rsidRPr="00670D42">
        <w:rPr>
          <w:spacing w:val="-6"/>
          <w:w w:val="105"/>
          <w:sz w:val="16"/>
        </w:rPr>
        <w:t xml:space="preserve"> </w:t>
      </w:r>
      <w:r w:rsidRPr="00670D42">
        <w:rPr>
          <w:w w:val="105"/>
          <w:sz w:val="16"/>
        </w:rPr>
        <w:t>virtually</w:t>
      </w:r>
      <w:r w:rsidRPr="00670D42">
        <w:rPr>
          <w:spacing w:val="-10"/>
          <w:w w:val="105"/>
          <w:sz w:val="16"/>
        </w:rPr>
        <w:t xml:space="preserve"> </w:t>
      </w:r>
      <w:r w:rsidRPr="00670D42">
        <w:rPr>
          <w:w w:val="105"/>
          <w:sz w:val="16"/>
        </w:rPr>
        <w:t>through</w:t>
      </w:r>
      <w:r w:rsidRPr="00670D42">
        <w:rPr>
          <w:spacing w:val="-7"/>
          <w:w w:val="105"/>
          <w:sz w:val="16"/>
        </w:rPr>
        <w:t xml:space="preserve"> </w:t>
      </w:r>
      <w:r w:rsidRPr="00670D42">
        <w:rPr>
          <w:w w:val="105"/>
          <w:sz w:val="16"/>
        </w:rPr>
        <w:t>the</w:t>
      </w:r>
      <w:r w:rsidRPr="00670D42">
        <w:rPr>
          <w:spacing w:val="-15"/>
          <w:w w:val="105"/>
          <w:sz w:val="16"/>
        </w:rPr>
        <w:t xml:space="preserve"> </w:t>
      </w:r>
      <w:r w:rsidRPr="00670D42">
        <w:rPr>
          <w:w w:val="105"/>
          <w:sz w:val="16"/>
        </w:rPr>
        <w:t>District-approve</w:t>
      </w:r>
      <w:r w:rsidRPr="00670D42">
        <w:rPr>
          <w:w w:val="105"/>
          <w:sz w:val="16"/>
        </w:rPr>
        <w:t>d</w:t>
      </w:r>
      <w:r w:rsidRPr="00670D42">
        <w:rPr>
          <w:spacing w:val="-24"/>
          <w:w w:val="105"/>
          <w:sz w:val="16"/>
        </w:rPr>
        <w:t xml:space="preserve"> </w:t>
      </w:r>
      <w:r w:rsidRPr="00670D42">
        <w:rPr>
          <w:w w:val="105"/>
          <w:sz w:val="16"/>
        </w:rPr>
        <w:t>provider</w:t>
      </w:r>
      <w:r w:rsidRPr="00670D42">
        <w:rPr>
          <w:spacing w:val="-7"/>
          <w:w w:val="105"/>
          <w:sz w:val="16"/>
        </w:rPr>
        <w:t xml:space="preserve"> </w:t>
      </w:r>
      <w:r w:rsidRPr="00670D42">
        <w:rPr>
          <w:w w:val="105"/>
          <w:sz w:val="16"/>
        </w:rPr>
        <w:t>or</w:t>
      </w:r>
      <w:r w:rsidRPr="00670D42">
        <w:rPr>
          <w:spacing w:val="-14"/>
          <w:w w:val="105"/>
          <w:sz w:val="16"/>
        </w:rPr>
        <w:t xml:space="preserve"> </w:t>
      </w:r>
      <w:r w:rsidRPr="00670D42">
        <w:rPr>
          <w:w w:val="105"/>
          <w:sz w:val="16"/>
        </w:rPr>
        <w:t>through the Missouri Course Access Program (MOCAP) organized through the Department of Elementary and Secondary Education (DESE). The following policy and procedures will help</w:t>
      </w:r>
      <w:r w:rsidRPr="00670D42">
        <w:rPr>
          <w:spacing w:val="-9"/>
          <w:w w:val="105"/>
          <w:sz w:val="16"/>
        </w:rPr>
        <w:t xml:space="preserve"> </w:t>
      </w:r>
      <w:r w:rsidRPr="00670D42">
        <w:rPr>
          <w:w w:val="105"/>
          <w:sz w:val="16"/>
        </w:rPr>
        <w:t>students and</w:t>
      </w:r>
      <w:r w:rsidRPr="00670D42">
        <w:rPr>
          <w:spacing w:val="-7"/>
          <w:w w:val="105"/>
          <w:sz w:val="16"/>
        </w:rPr>
        <w:t xml:space="preserve"> </w:t>
      </w:r>
      <w:r w:rsidRPr="00670D42">
        <w:rPr>
          <w:w w:val="105"/>
          <w:sz w:val="16"/>
        </w:rPr>
        <w:t>families</w:t>
      </w:r>
      <w:r w:rsidRPr="00670D42">
        <w:rPr>
          <w:spacing w:val="3"/>
          <w:w w:val="105"/>
          <w:sz w:val="16"/>
        </w:rPr>
        <w:t xml:space="preserve"> </w:t>
      </w:r>
      <w:r w:rsidRPr="00670D42">
        <w:rPr>
          <w:w w:val="105"/>
          <w:sz w:val="16"/>
        </w:rPr>
        <w:t>through</w:t>
      </w:r>
      <w:r w:rsidRPr="00670D42">
        <w:rPr>
          <w:spacing w:val="3"/>
          <w:w w:val="105"/>
          <w:sz w:val="16"/>
        </w:rPr>
        <w:t xml:space="preserve"> </w:t>
      </w:r>
      <w:r w:rsidRPr="00670D42">
        <w:rPr>
          <w:w w:val="105"/>
          <w:sz w:val="16"/>
        </w:rPr>
        <w:t>the</w:t>
      </w:r>
      <w:r w:rsidRPr="00670D42">
        <w:rPr>
          <w:spacing w:val="-7"/>
          <w:w w:val="105"/>
          <w:sz w:val="16"/>
        </w:rPr>
        <w:t xml:space="preserve"> </w:t>
      </w:r>
      <w:r w:rsidRPr="00670D42">
        <w:rPr>
          <w:w w:val="105"/>
          <w:sz w:val="16"/>
        </w:rPr>
        <w:t>access</w:t>
      </w:r>
      <w:r w:rsidRPr="00670D42">
        <w:rPr>
          <w:spacing w:val="-8"/>
          <w:w w:val="105"/>
          <w:sz w:val="16"/>
        </w:rPr>
        <w:t xml:space="preserve"> </w:t>
      </w:r>
      <w:r w:rsidRPr="00670D42">
        <w:rPr>
          <w:w w:val="105"/>
          <w:sz w:val="16"/>
        </w:rPr>
        <w:t>process</w:t>
      </w:r>
      <w:r w:rsidRPr="00670D42">
        <w:rPr>
          <w:spacing w:val="3"/>
          <w:w w:val="105"/>
          <w:sz w:val="16"/>
        </w:rPr>
        <w:t xml:space="preserve"> </w:t>
      </w:r>
      <w:r w:rsidRPr="00670D42">
        <w:rPr>
          <w:w w:val="105"/>
          <w:sz w:val="16"/>
        </w:rPr>
        <w:t>if</w:t>
      </w:r>
      <w:r w:rsidRPr="00670D42">
        <w:rPr>
          <w:spacing w:val="-11"/>
          <w:w w:val="105"/>
          <w:sz w:val="16"/>
        </w:rPr>
        <w:t xml:space="preserve"> </w:t>
      </w:r>
      <w:r w:rsidRPr="00670D42">
        <w:rPr>
          <w:w w:val="105"/>
          <w:sz w:val="16"/>
        </w:rPr>
        <w:t>that</w:t>
      </w:r>
      <w:r w:rsidRPr="00670D42">
        <w:rPr>
          <w:spacing w:val="-5"/>
          <w:w w:val="105"/>
          <w:sz w:val="16"/>
        </w:rPr>
        <w:t xml:space="preserve"> </w:t>
      </w:r>
      <w:r w:rsidRPr="00670D42">
        <w:rPr>
          <w:w w:val="105"/>
          <w:sz w:val="16"/>
        </w:rPr>
        <w:t>is</w:t>
      </w:r>
      <w:r w:rsidRPr="00670D42">
        <w:rPr>
          <w:spacing w:val="-9"/>
          <w:w w:val="105"/>
          <w:sz w:val="16"/>
        </w:rPr>
        <w:t xml:space="preserve"> </w:t>
      </w:r>
      <w:r w:rsidRPr="00670D42">
        <w:rPr>
          <w:w w:val="105"/>
          <w:sz w:val="16"/>
        </w:rPr>
        <w:t>their</w:t>
      </w:r>
      <w:r w:rsidRPr="00670D42">
        <w:rPr>
          <w:spacing w:val="-6"/>
          <w:w w:val="105"/>
          <w:sz w:val="16"/>
        </w:rPr>
        <w:t xml:space="preserve"> </w:t>
      </w:r>
      <w:r w:rsidRPr="00670D42">
        <w:rPr>
          <w:w w:val="105"/>
          <w:sz w:val="16"/>
        </w:rPr>
        <w:t>desired</w:t>
      </w:r>
      <w:r w:rsidRPr="00670D42">
        <w:rPr>
          <w:spacing w:val="-4"/>
          <w:w w:val="105"/>
          <w:sz w:val="16"/>
        </w:rPr>
        <w:t xml:space="preserve"> </w:t>
      </w:r>
      <w:r w:rsidRPr="00670D42">
        <w:rPr>
          <w:w w:val="105"/>
          <w:sz w:val="16"/>
        </w:rPr>
        <w:t>path.</w:t>
      </w:r>
    </w:p>
    <w:p w:rsidR="00726B43" w:rsidRDefault="00726B43" w:rsidP="00670D42">
      <w:pPr>
        <w:pStyle w:val="BodyText"/>
        <w:spacing w:line="285" w:lineRule="auto"/>
        <w:ind w:left="0" w:firstLine="0"/>
        <w:rPr>
          <w:w w:val="105"/>
        </w:rPr>
      </w:pPr>
    </w:p>
    <w:tbl>
      <w:tblPr>
        <w:tblW w:w="9120" w:type="dxa"/>
        <w:jc w:val="center"/>
        <w:tblCellSpacing w:w="0" w:type="dxa"/>
        <w:shd w:val="clear" w:color="auto" w:fill="FFFFFF"/>
        <w:tblCellMar>
          <w:left w:w="0" w:type="dxa"/>
          <w:right w:w="0" w:type="dxa"/>
        </w:tblCellMar>
        <w:tblLook w:val="04A0" w:firstRow="1" w:lastRow="0" w:firstColumn="1" w:lastColumn="0" w:noHBand="0" w:noVBand="1"/>
      </w:tblPr>
      <w:tblGrid>
        <w:gridCol w:w="480"/>
        <w:gridCol w:w="8640"/>
      </w:tblGrid>
      <w:tr w:rsidR="00726B43" w:rsidRPr="00726B43" w:rsidTr="00726B43">
        <w:trPr>
          <w:tblCellSpacing w:w="0" w:type="dxa"/>
          <w:jc w:val="center"/>
        </w:trPr>
        <w:tc>
          <w:tcPr>
            <w:tcW w:w="0" w:type="auto"/>
            <w:gridSpan w:val="2"/>
            <w:shd w:val="clear" w:color="auto" w:fill="FFFFFF"/>
            <w:vAlign w:val="center"/>
            <w:hideMark/>
          </w:tcPr>
          <w:p w:rsidR="00726B43" w:rsidRPr="00726B43" w:rsidRDefault="00726B43" w:rsidP="00726B43">
            <w:pPr>
              <w:widowControl/>
              <w:autoSpaceDE/>
              <w:autoSpaceDN/>
              <w:rPr>
                <w:rFonts w:ascii="Tahoma" w:eastAsia="Times New Roman" w:hAnsi="Tahoma" w:cs="Tahoma"/>
                <w:b/>
                <w:bCs/>
                <w:color w:val="368EA9"/>
                <w:sz w:val="16"/>
                <w:szCs w:val="21"/>
              </w:rPr>
            </w:pPr>
            <w:r w:rsidRPr="00670D42">
              <w:rPr>
                <w:rFonts w:ascii="Tahoma" w:eastAsia="Times New Roman" w:hAnsi="Tahoma" w:cs="Tahoma"/>
                <w:b/>
                <w:bCs/>
                <w:color w:val="368EA9"/>
                <w:sz w:val="16"/>
                <w:szCs w:val="21"/>
              </w:rPr>
              <w:t>Policy 6190 I</w:t>
            </w:r>
            <w:r w:rsidRPr="00726B43">
              <w:rPr>
                <w:rFonts w:ascii="Tahoma" w:eastAsia="Times New Roman" w:hAnsi="Tahoma" w:cs="Tahoma"/>
                <w:b/>
                <w:bCs/>
                <w:color w:val="368EA9"/>
                <w:sz w:val="16"/>
                <w:szCs w:val="21"/>
              </w:rPr>
              <w:t>nstructional Services</w:t>
            </w:r>
          </w:p>
        </w:tc>
      </w:tr>
      <w:tr w:rsidR="00726B43" w:rsidRPr="00726B43" w:rsidTr="00670D42">
        <w:trPr>
          <w:tblCellSpacing w:w="0" w:type="dxa"/>
          <w:jc w:val="center"/>
        </w:trPr>
        <w:tc>
          <w:tcPr>
            <w:tcW w:w="480" w:type="dxa"/>
            <w:shd w:val="clear" w:color="auto" w:fill="FFFFFF"/>
            <w:vAlign w:val="center"/>
          </w:tcPr>
          <w:p w:rsidR="00726B43" w:rsidRPr="00726B43" w:rsidRDefault="00726B43" w:rsidP="00726B43">
            <w:pPr>
              <w:widowControl/>
              <w:autoSpaceDE/>
              <w:autoSpaceDN/>
              <w:rPr>
                <w:rFonts w:ascii="Tahoma" w:eastAsia="Times New Roman" w:hAnsi="Tahoma" w:cs="Tahoma"/>
                <w:color w:val="495260"/>
                <w:sz w:val="16"/>
                <w:szCs w:val="21"/>
              </w:rPr>
            </w:pPr>
          </w:p>
        </w:tc>
        <w:tc>
          <w:tcPr>
            <w:tcW w:w="8640" w:type="dxa"/>
            <w:shd w:val="clear" w:color="auto" w:fill="FFFFFF"/>
            <w:vAlign w:val="center"/>
          </w:tcPr>
          <w:p w:rsidR="00726B43" w:rsidRPr="00726B43" w:rsidRDefault="00726B43" w:rsidP="00726B43">
            <w:pPr>
              <w:widowControl/>
              <w:autoSpaceDE/>
              <w:autoSpaceDN/>
              <w:rPr>
                <w:rFonts w:ascii="Tahoma" w:eastAsia="Times New Roman" w:hAnsi="Tahoma" w:cs="Tahoma"/>
                <w:b/>
                <w:bCs/>
                <w:color w:val="368EA9"/>
                <w:sz w:val="16"/>
                <w:szCs w:val="21"/>
              </w:rPr>
            </w:pPr>
          </w:p>
        </w:tc>
      </w:tr>
    </w:tbl>
    <w:p w:rsidR="00726B43" w:rsidRPr="00726B43" w:rsidRDefault="00726B43" w:rsidP="00726B43">
      <w:pPr>
        <w:widowControl/>
        <w:autoSpaceDE/>
        <w:autoSpaceDN/>
        <w:rPr>
          <w:rFonts w:ascii="Times New Roman" w:eastAsia="Times New Roman" w:hAnsi="Times New Roman" w:cs="Times New Roman"/>
          <w:vanish/>
          <w:sz w:val="18"/>
          <w:szCs w:val="24"/>
        </w:rPr>
      </w:pPr>
    </w:p>
    <w:tbl>
      <w:tblPr>
        <w:tblW w:w="9120" w:type="dxa"/>
        <w:jc w:val="center"/>
        <w:tblCellSpacing w:w="0" w:type="dxa"/>
        <w:shd w:val="clear" w:color="auto" w:fill="FFFFFF"/>
        <w:tblCellMar>
          <w:left w:w="0" w:type="dxa"/>
          <w:right w:w="0" w:type="dxa"/>
        </w:tblCellMar>
        <w:tblLook w:val="04A0" w:firstRow="1" w:lastRow="0" w:firstColumn="1" w:lastColumn="0" w:noHBand="0" w:noVBand="1"/>
      </w:tblPr>
      <w:tblGrid>
        <w:gridCol w:w="9490"/>
      </w:tblGrid>
      <w:tr w:rsidR="00726B43" w:rsidRPr="00726B43" w:rsidTr="00726B43">
        <w:trPr>
          <w:tblCellSpacing w:w="0" w:type="dxa"/>
          <w:jc w:val="center"/>
        </w:trPr>
        <w:tc>
          <w:tcPr>
            <w:tcW w:w="0" w:type="auto"/>
            <w:shd w:val="clear" w:color="auto" w:fill="FFFFFF"/>
            <w:vAlign w:val="center"/>
            <w:hideMark/>
          </w:tcPr>
          <w:tbl>
            <w:tblPr>
              <w:tblW w:w="9120" w:type="dxa"/>
              <w:tblCellSpacing w:w="0" w:type="dxa"/>
              <w:tblCellMar>
                <w:left w:w="0" w:type="dxa"/>
                <w:right w:w="0" w:type="dxa"/>
              </w:tblCellMar>
              <w:tblLook w:val="04A0" w:firstRow="1" w:lastRow="0" w:firstColumn="1" w:lastColumn="0" w:noHBand="0" w:noVBand="1"/>
            </w:tblPr>
            <w:tblGrid>
              <w:gridCol w:w="9490"/>
            </w:tblGrid>
            <w:tr w:rsidR="00726B43" w:rsidRPr="00726B43">
              <w:trPr>
                <w:tblCellSpacing w:w="0" w:type="dxa"/>
              </w:trPr>
              <w:tc>
                <w:tcPr>
                  <w:tcW w:w="0" w:type="auto"/>
                  <w:vAlign w:val="center"/>
                  <w:hideMark/>
                </w:tcPr>
                <w:p w:rsidR="00726B43" w:rsidRPr="00726B43" w:rsidRDefault="00726B43" w:rsidP="00726B43">
                  <w:pPr>
                    <w:widowControl/>
                    <w:autoSpaceDE/>
                    <w:autoSpaceDN/>
                    <w:rPr>
                      <w:rFonts w:ascii="Tahoma" w:eastAsia="Times New Roman" w:hAnsi="Tahoma" w:cs="Tahoma"/>
                      <w:color w:val="495260"/>
                      <w:sz w:val="16"/>
                      <w:szCs w:val="21"/>
                    </w:rPr>
                  </w:pPr>
                  <w:r w:rsidRPr="00726B43">
                    <w:rPr>
                      <w:rFonts w:ascii="Tahoma" w:eastAsia="Times New Roman" w:hAnsi="Tahoma" w:cs="Tahoma"/>
                      <w:color w:val="495260"/>
                      <w:sz w:val="16"/>
                      <w:szCs w:val="21"/>
                    </w:rPr>
                    <w:t> </w:t>
                  </w:r>
                </w:p>
              </w:tc>
            </w:tr>
            <w:tr w:rsidR="00726B43" w:rsidRPr="00726B43">
              <w:trPr>
                <w:tblCellSpacing w:w="0" w:type="dxa"/>
              </w:trPr>
              <w:tc>
                <w:tcPr>
                  <w:tcW w:w="0" w:type="auto"/>
                  <w:vAlign w:val="center"/>
                  <w:hideMark/>
                </w:tcPr>
                <w:p w:rsidR="00726B43" w:rsidRPr="00670D42" w:rsidRDefault="00726B43" w:rsidP="00726B43">
                  <w:pPr>
                    <w:widowControl/>
                    <w:autoSpaceDE/>
                    <w:autoSpaceDN/>
                    <w:spacing w:after="240"/>
                    <w:jc w:val="both"/>
                    <w:rPr>
                      <w:rFonts w:ascii="Tahoma" w:eastAsia="Times New Roman" w:hAnsi="Tahoma" w:cs="Tahoma"/>
                      <w:color w:val="495260"/>
                      <w:sz w:val="16"/>
                      <w:szCs w:val="21"/>
                    </w:rPr>
                  </w:pPr>
                  <w:r w:rsidRPr="00726B43">
                    <w:rPr>
                      <w:rFonts w:ascii="Tahoma" w:eastAsia="Times New Roman" w:hAnsi="Tahoma" w:cs="Tahoma"/>
                      <w:color w:val="495260"/>
                      <w:sz w:val="16"/>
                      <w:szCs w:val="21"/>
                    </w:rPr>
                    <w:t>The District will participate in the Missouri Course Access and Virtual School Program (“Program”).  The Program offers District students the opportunity to enroll in virtual school courses in a variety of grade level and content areas from Kindergarten through grade 12.  The District may elect to offer specific courses as part of the program.  Any on-line courses or virtual programs offered by the District prior to August 18, 2018 will be automatically approved for program participation, where the District course meets program requirements.</w:t>
                  </w:r>
                </w:p>
                <w:tbl>
                  <w:tblPr>
                    <w:tblW w:w="9120" w:type="dxa"/>
                    <w:jc w:val="center"/>
                    <w:tblCellSpacing w:w="0" w:type="dxa"/>
                    <w:tblCellMar>
                      <w:left w:w="0" w:type="dxa"/>
                      <w:right w:w="0" w:type="dxa"/>
                    </w:tblCellMar>
                    <w:tblLook w:val="04A0" w:firstRow="1" w:lastRow="0" w:firstColumn="1" w:lastColumn="0" w:noHBand="0" w:noVBand="1"/>
                  </w:tblPr>
                  <w:tblGrid>
                    <w:gridCol w:w="480"/>
                    <w:gridCol w:w="8640"/>
                  </w:tblGrid>
                  <w:tr w:rsidR="00726B43" w:rsidRPr="00726B43" w:rsidTr="00726B43">
                    <w:trPr>
                      <w:tblCellSpacing w:w="0" w:type="dxa"/>
                      <w:jc w:val="center"/>
                    </w:trPr>
                    <w:tc>
                      <w:tcPr>
                        <w:tcW w:w="0" w:type="auto"/>
                        <w:gridSpan w:val="2"/>
                        <w:vAlign w:val="center"/>
                        <w:hideMark/>
                      </w:tcPr>
                      <w:p w:rsidR="00726B43" w:rsidRPr="00726B43" w:rsidRDefault="00670D42" w:rsidP="00726B43">
                        <w:pPr>
                          <w:widowControl/>
                          <w:autoSpaceDE/>
                          <w:autoSpaceDN/>
                          <w:rPr>
                            <w:rFonts w:ascii="Tahoma" w:eastAsia="Times New Roman" w:hAnsi="Tahoma" w:cs="Tahoma"/>
                            <w:b/>
                            <w:bCs/>
                            <w:color w:val="368EA9"/>
                            <w:sz w:val="16"/>
                            <w:szCs w:val="21"/>
                          </w:rPr>
                        </w:pPr>
                        <w:r>
                          <w:rPr>
                            <w:rFonts w:ascii="Tahoma" w:eastAsia="Times New Roman" w:hAnsi="Tahoma" w:cs="Tahoma"/>
                            <w:b/>
                            <w:bCs/>
                            <w:color w:val="368EA9"/>
                            <w:sz w:val="16"/>
                            <w:szCs w:val="21"/>
                          </w:rPr>
                          <w:t xml:space="preserve">Regulation 6190 </w:t>
                        </w:r>
                        <w:r w:rsidR="00726B43" w:rsidRPr="00726B43">
                          <w:rPr>
                            <w:rFonts w:ascii="Tahoma" w:eastAsia="Times New Roman" w:hAnsi="Tahoma" w:cs="Tahoma"/>
                            <w:b/>
                            <w:bCs/>
                            <w:color w:val="368EA9"/>
                            <w:sz w:val="16"/>
                            <w:szCs w:val="21"/>
                          </w:rPr>
                          <w:t>Instructional Services</w:t>
                        </w:r>
                      </w:p>
                    </w:tc>
                  </w:tr>
                  <w:tr w:rsidR="00726B43" w:rsidRPr="00726B43" w:rsidTr="00726B43">
                    <w:trPr>
                      <w:tblCellSpacing w:w="0" w:type="dxa"/>
                      <w:jc w:val="center"/>
                    </w:trPr>
                    <w:tc>
                      <w:tcPr>
                        <w:tcW w:w="480" w:type="dxa"/>
                        <w:vAlign w:val="center"/>
                        <w:hideMark/>
                      </w:tcPr>
                      <w:p w:rsidR="00726B43" w:rsidRPr="00726B43" w:rsidRDefault="00726B43" w:rsidP="00726B43">
                        <w:pPr>
                          <w:widowControl/>
                          <w:autoSpaceDE/>
                          <w:autoSpaceDN/>
                          <w:rPr>
                            <w:rFonts w:ascii="Tahoma" w:eastAsia="Times New Roman" w:hAnsi="Tahoma" w:cs="Tahoma"/>
                            <w:color w:val="495260"/>
                            <w:sz w:val="16"/>
                            <w:szCs w:val="21"/>
                          </w:rPr>
                        </w:pPr>
                      </w:p>
                    </w:tc>
                    <w:tc>
                      <w:tcPr>
                        <w:tcW w:w="8640" w:type="dxa"/>
                        <w:vAlign w:val="center"/>
                        <w:hideMark/>
                      </w:tcPr>
                      <w:p w:rsidR="00726B43" w:rsidRPr="00726B43" w:rsidRDefault="00726B43" w:rsidP="00726B43">
                        <w:pPr>
                          <w:widowControl/>
                          <w:autoSpaceDE/>
                          <w:autoSpaceDN/>
                          <w:rPr>
                            <w:rFonts w:ascii="Tahoma" w:eastAsia="Times New Roman" w:hAnsi="Tahoma" w:cs="Tahoma"/>
                            <w:b/>
                            <w:bCs/>
                            <w:color w:val="368EA9"/>
                            <w:sz w:val="16"/>
                            <w:szCs w:val="21"/>
                          </w:rPr>
                        </w:pPr>
                      </w:p>
                    </w:tc>
                  </w:tr>
                </w:tbl>
                <w:p w:rsidR="00726B43" w:rsidRPr="00726B43" w:rsidRDefault="00726B43" w:rsidP="00726B43">
                  <w:pPr>
                    <w:widowControl/>
                    <w:autoSpaceDE/>
                    <w:autoSpaceDN/>
                    <w:rPr>
                      <w:rFonts w:ascii="Times New Roman" w:eastAsia="Times New Roman" w:hAnsi="Times New Roman" w:cs="Times New Roman"/>
                      <w:vanish/>
                      <w:sz w:val="18"/>
                      <w:szCs w:val="24"/>
                    </w:rPr>
                  </w:pPr>
                </w:p>
                <w:tbl>
                  <w:tblPr>
                    <w:tblW w:w="9120" w:type="dxa"/>
                    <w:jc w:val="center"/>
                    <w:tblCellSpacing w:w="0" w:type="dxa"/>
                    <w:tblCellMar>
                      <w:left w:w="0" w:type="dxa"/>
                      <w:right w:w="0" w:type="dxa"/>
                    </w:tblCellMar>
                    <w:tblLook w:val="04A0" w:firstRow="1" w:lastRow="0" w:firstColumn="1" w:lastColumn="0" w:noHBand="0" w:noVBand="1"/>
                  </w:tblPr>
                  <w:tblGrid>
                    <w:gridCol w:w="9485"/>
                    <w:gridCol w:w="5"/>
                  </w:tblGrid>
                  <w:tr w:rsidR="00726B43" w:rsidRPr="00726B43" w:rsidTr="00726B43">
                    <w:trPr>
                      <w:tblCellSpacing w:w="0" w:type="dxa"/>
                      <w:jc w:val="center"/>
                    </w:trPr>
                    <w:tc>
                      <w:tcPr>
                        <w:tcW w:w="0" w:type="auto"/>
                        <w:gridSpan w:val="2"/>
                        <w:vAlign w:val="center"/>
                        <w:hideMark/>
                      </w:tcPr>
                      <w:tbl>
                        <w:tblPr>
                          <w:tblW w:w="9120" w:type="dxa"/>
                          <w:tblCellSpacing w:w="0" w:type="dxa"/>
                          <w:tblCellMar>
                            <w:left w:w="0" w:type="dxa"/>
                            <w:right w:w="0" w:type="dxa"/>
                          </w:tblCellMar>
                          <w:tblLook w:val="04A0" w:firstRow="1" w:lastRow="0" w:firstColumn="1" w:lastColumn="0" w:noHBand="0" w:noVBand="1"/>
                        </w:tblPr>
                        <w:tblGrid>
                          <w:gridCol w:w="9120"/>
                        </w:tblGrid>
                        <w:tr w:rsidR="00726B43" w:rsidRPr="00726B43">
                          <w:trPr>
                            <w:tblCellSpacing w:w="0" w:type="dxa"/>
                          </w:trPr>
                          <w:tc>
                            <w:tcPr>
                              <w:tcW w:w="0" w:type="auto"/>
                              <w:vAlign w:val="center"/>
                              <w:hideMark/>
                            </w:tcPr>
                            <w:p w:rsidR="00726B43" w:rsidRPr="00726B43" w:rsidRDefault="00726B43" w:rsidP="00726B43">
                              <w:pPr>
                                <w:widowControl/>
                                <w:autoSpaceDE/>
                                <w:autoSpaceDN/>
                                <w:rPr>
                                  <w:rFonts w:ascii="Tahoma" w:eastAsia="Times New Roman" w:hAnsi="Tahoma" w:cs="Tahoma"/>
                                  <w:color w:val="495260"/>
                                  <w:sz w:val="16"/>
                                  <w:szCs w:val="21"/>
                                </w:rPr>
                              </w:pPr>
                              <w:r w:rsidRPr="00726B43">
                                <w:rPr>
                                  <w:rFonts w:ascii="Tahoma" w:eastAsia="Times New Roman" w:hAnsi="Tahoma" w:cs="Tahoma"/>
                                  <w:color w:val="495260"/>
                                  <w:sz w:val="16"/>
                                  <w:szCs w:val="21"/>
                                </w:rPr>
                                <w:t> </w:t>
                              </w:r>
                            </w:p>
                          </w:tc>
                        </w:tr>
                        <w:tr w:rsidR="00726B43" w:rsidRPr="00726B43">
                          <w:trPr>
                            <w:tblCellSpacing w:w="0" w:type="dxa"/>
                          </w:trPr>
                          <w:tc>
                            <w:tcPr>
                              <w:tcW w:w="0" w:type="auto"/>
                              <w:vAlign w:val="center"/>
                              <w:hideMark/>
                            </w:tcPr>
                            <w:p w:rsidR="00726B43" w:rsidRPr="00726B43" w:rsidRDefault="00726B43" w:rsidP="00726B43">
                              <w:pPr>
                                <w:widowControl/>
                                <w:autoSpaceDE/>
                                <w:autoSpaceDN/>
                                <w:spacing w:after="240"/>
                                <w:jc w:val="both"/>
                                <w:rPr>
                                  <w:rFonts w:ascii="Tahoma" w:eastAsia="Times New Roman" w:hAnsi="Tahoma" w:cs="Tahoma"/>
                                  <w:color w:val="495260"/>
                                  <w:sz w:val="16"/>
                                  <w:szCs w:val="21"/>
                                </w:rPr>
                              </w:pPr>
                              <w:r w:rsidRPr="00726B43">
                                <w:rPr>
                                  <w:rFonts w:ascii="Tahoma" w:eastAsia="Times New Roman" w:hAnsi="Tahoma" w:cs="Tahoma"/>
                                  <w:color w:val="495260"/>
                                  <w:sz w:val="16"/>
                                  <w:szCs w:val="21"/>
                                </w:rPr>
                                <w:t>The District will annually permit any eligible student, under the age of twenty-one (21) who resides in the District, to enroll in Missouri Course Access and Virtual School Program (“Program”) courses as part of the student’s annual course load. Course costs will be paid by the District provided that the student:</w:t>
                              </w:r>
                            </w:p>
                            <w:p w:rsidR="00726B43" w:rsidRPr="00726B43" w:rsidRDefault="00726B43" w:rsidP="00726B43">
                              <w:pPr>
                                <w:widowControl/>
                                <w:numPr>
                                  <w:ilvl w:val="0"/>
                                  <w:numId w:val="1"/>
                                </w:numPr>
                                <w:autoSpaceDE/>
                                <w:autoSpaceDN/>
                                <w:spacing w:before="100" w:beforeAutospacing="1" w:after="100" w:afterAutospacing="1"/>
                                <w:jc w:val="both"/>
                                <w:rPr>
                                  <w:rFonts w:ascii="Tahoma" w:eastAsia="Times New Roman" w:hAnsi="Tahoma" w:cs="Tahoma"/>
                                  <w:color w:val="495260"/>
                                  <w:sz w:val="16"/>
                                  <w:szCs w:val="21"/>
                                </w:rPr>
                              </w:pPr>
                              <w:r w:rsidRPr="00726B43">
                                <w:rPr>
                                  <w:rFonts w:ascii="Tahoma" w:eastAsia="Times New Roman" w:hAnsi="Tahoma" w:cs="Tahoma"/>
                                  <w:color w:val="495260"/>
                                  <w:sz w:val="16"/>
                                  <w:szCs w:val="21"/>
                                </w:rPr>
                                <w:t>Is enrolled full-time and has attended a public school, including a charter school, for at least one (1) semester immediately prior to enrolling in the Program. However, if the reason for a student’s non-attendance in the prior semester is a documented medical or psychological diagnosis or condition which prevented attendance, such non-attendance will be excused; and</w:t>
                              </w:r>
                            </w:p>
                            <w:p w:rsidR="00726B43" w:rsidRPr="00726B43" w:rsidRDefault="00726B43" w:rsidP="00726B43">
                              <w:pPr>
                                <w:widowControl/>
                                <w:numPr>
                                  <w:ilvl w:val="0"/>
                                  <w:numId w:val="1"/>
                                </w:numPr>
                                <w:autoSpaceDE/>
                                <w:autoSpaceDN/>
                                <w:spacing w:before="100" w:beforeAutospacing="1" w:after="100" w:afterAutospacing="1"/>
                                <w:jc w:val="both"/>
                                <w:rPr>
                                  <w:rFonts w:ascii="Tahoma" w:eastAsia="Times New Roman" w:hAnsi="Tahoma" w:cs="Tahoma"/>
                                  <w:color w:val="495260"/>
                                  <w:sz w:val="16"/>
                                  <w:szCs w:val="21"/>
                                </w:rPr>
                              </w:pPr>
                              <w:r w:rsidRPr="00726B43">
                                <w:rPr>
                                  <w:rFonts w:ascii="Tahoma" w:eastAsia="Times New Roman" w:hAnsi="Tahoma" w:cs="Tahoma"/>
                                  <w:color w:val="495260"/>
                                  <w:sz w:val="16"/>
                                  <w:szCs w:val="21"/>
                                </w:rPr>
                                <w:t>Prior to enrolling in the Program course has received District approval through the procedure set out in this Regulation 6190(A)</w:t>
                              </w:r>
                              <w:proofErr w:type="gramStart"/>
                              <w:r w:rsidRPr="00726B43">
                                <w:rPr>
                                  <w:rFonts w:ascii="Tahoma" w:eastAsia="Times New Roman" w:hAnsi="Tahoma" w:cs="Tahoma"/>
                                  <w:color w:val="495260"/>
                                  <w:sz w:val="16"/>
                                  <w:szCs w:val="21"/>
                                </w:rPr>
                                <w:t>.</w:t>
                              </w:r>
                              <w:proofErr w:type="gramEnd"/>
                            </w:p>
                            <w:p w:rsidR="00726B43" w:rsidRPr="00726B43" w:rsidRDefault="00726B43" w:rsidP="00726B43">
                              <w:pPr>
                                <w:widowControl/>
                                <w:autoSpaceDE/>
                                <w:autoSpaceDN/>
                                <w:spacing w:after="240"/>
                                <w:jc w:val="both"/>
                                <w:rPr>
                                  <w:rFonts w:ascii="Tahoma" w:eastAsia="Times New Roman" w:hAnsi="Tahoma" w:cs="Tahoma"/>
                                  <w:color w:val="495260"/>
                                  <w:sz w:val="16"/>
                                  <w:szCs w:val="21"/>
                                </w:rPr>
                              </w:pPr>
                              <w:r w:rsidRPr="00726B43">
                                <w:rPr>
                                  <w:rFonts w:ascii="Tahoma" w:eastAsia="Times New Roman" w:hAnsi="Tahoma" w:cs="Tahoma"/>
                                  <w:color w:val="495260"/>
                                  <w:sz w:val="16"/>
                                  <w:szCs w:val="21"/>
                                </w:rPr>
                                <w:t>Each Program course successfully completed will count as one class and will receive that portion of a full-time equivalent that a comparable course offered by the District generates.</w:t>
                              </w:r>
                            </w:p>
                            <w:p w:rsidR="00726B43" w:rsidRPr="00726B43" w:rsidRDefault="00726B43" w:rsidP="00726B43">
                              <w:pPr>
                                <w:widowControl/>
                                <w:autoSpaceDE/>
                                <w:autoSpaceDN/>
                                <w:spacing w:after="240"/>
                                <w:jc w:val="both"/>
                                <w:rPr>
                                  <w:rFonts w:ascii="Tahoma" w:eastAsia="Times New Roman" w:hAnsi="Tahoma" w:cs="Tahoma"/>
                                  <w:color w:val="495260"/>
                                  <w:sz w:val="16"/>
                                  <w:szCs w:val="21"/>
                                </w:rPr>
                              </w:pPr>
                              <w:r w:rsidRPr="00670D42">
                                <w:rPr>
                                  <w:rFonts w:ascii="Tahoma" w:eastAsia="Times New Roman" w:hAnsi="Tahoma" w:cs="Tahoma"/>
                                  <w:b/>
                                  <w:bCs/>
                                  <w:color w:val="495260"/>
                                  <w:sz w:val="16"/>
                                  <w:szCs w:val="21"/>
                                </w:rPr>
                                <w:t>A. Enrollment</w:t>
                              </w:r>
                            </w:p>
                            <w:p w:rsidR="00726B43" w:rsidRPr="00726B43" w:rsidRDefault="00726B43" w:rsidP="00726B43">
                              <w:pPr>
                                <w:widowControl/>
                                <w:autoSpaceDE/>
                                <w:autoSpaceDN/>
                                <w:spacing w:after="240"/>
                                <w:jc w:val="both"/>
                                <w:rPr>
                                  <w:rFonts w:ascii="Tahoma" w:eastAsia="Times New Roman" w:hAnsi="Tahoma" w:cs="Tahoma"/>
                                  <w:color w:val="495260"/>
                                  <w:sz w:val="16"/>
                                  <w:szCs w:val="21"/>
                                </w:rPr>
                              </w:pPr>
                              <w:r w:rsidRPr="00670D42">
                                <w:rPr>
                                  <w:rFonts w:ascii="Tahoma" w:eastAsia="Times New Roman" w:hAnsi="Tahoma" w:cs="Tahoma"/>
                                  <w:b/>
                                  <w:bCs/>
                                  <w:color w:val="495260"/>
                                  <w:sz w:val="16"/>
                                  <w:szCs w:val="21"/>
                                </w:rPr>
                                <w:t> </w:t>
                              </w:r>
                              <w:r w:rsidRPr="00726B43">
                                <w:rPr>
                                  <w:rFonts w:ascii="Tahoma" w:eastAsia="Times New Roman" w:hAnsi="Tahoma" w:cs="Tahoma"/>
                                  <w:color w:val="495260"/>
                                  <w:sz w:val="16"/>
                                  <w:szCs w:val="21"/>
                                </w:rPr>
                                <w:t>The enrollment process for participation in the Program will be substantially similar to the enrollment process for participation in District courses. The enrollment period will be ten (10) school days prior to each semester.  Students who fail to timely enroll will be permitted to apply the next semester.  New students enrolling during the school year will have five (5) school days from school enrollment to apply for a Program Course under this Regulation.  The process may include consultation with a school counselor. However, consultation does not include the counselor’s approval or disapproval of enrollment in the Program.  However, the District has ten (10) business days from the date the application was submitted to the District to approve or deny the application.</w:t>
                              </w:r>
                            </w:p>
                            <w:p w:rsidR="00726B43" w:rsidRPr="00726B43" w:rsidRDefault="00726B43" w:rsidP="00726B43">
                              <w:pPr>
                                <w:widowControl/>
                                <w:autoSpaceDE/>
                                <w:autoSpaceDN/>
                                <w:spacing w:after="240"/>
                                <w:jc w:val="both"/>
                                <w:rPr>
                                  <w:rFonts w:ascii="Tahoma" w:eastAsia="Times New Roman" w:hAnsi="Tahoma" w:cs="Tahoma"/>
                                  <w:color w:val="495260"/>
                                  <w:sz w:val="16"/>
                                  <w:szCs w:val="21"/>
                                </w:rPr>
                              </w:pPr>
                              <w:r w:rsidRPr="00726B43">
                                <w:rPr>
                                  <w:rFonts w:ascii="Tahoma" w:eastAsia="Times New Roman" w:hAnsi="Tahoma" w:cs="Tahoma"/>
                                  <w:color w:val="495260"/>
                                  <w:sz w:val="16"/>
                                  <w:szCs w:val="21"/>
                                </w:rPr>
                                <w:t>When a District school denies a student’s enrollment in a Program course or enrollment as a full-time Program student, the District will provide in writing a “good cause” reason for the denial.  Such good cause determination will be based upon a reasonable determination that the enrollment is not in the student’s best educational interest.  Where enrollment is denied, the following process will be utilized:</w:t>
                              </w:r>
                            </w:p>
                            <w:p w:rsidR="00726B43" w:rsidRPr="00726B43" w:rsidRDefault="00726B43" w:rsidP="00726B43">
                              <w:pPr>
                                <w:widowControl/>
                                <w:numPr>
                                  <w:ilvl w:val="0"/>
                                  <w:numId w:val="2"/>
                                </w:numPr>
                                <w:autoSpaceDE/>
                                <w:autoSpaceDN/>
                                <w:spacing w:before="100" w:beforeAutospacing="1" w:after="100" w:afterAutospacing="1"/>
                                <w:jc w:val="both"/>
                                <w:rPr>
                                  <w:rFonts w:ascii="Tahoma" w:eastAsia="Times New Roman" w:hAnsi="Tahoma" w:cs="Tahoma"/>
                                  <w:color w:val="495260"/>
                                  <w:sz w:val="16"/>
                                  <w:szCs w:val="21"/>
                                </w:rPr>
                              </w:pPr>
                              <w:r w:rsidRPr="00726B43">
                                <w:rPr>
                                  <w:rFonts w:ascii="Tahoma" w:eastAsia="Times New Roman" w:hAnsi="Tahoma" w:cs="Tahoma"/>
                                  <w:color w:val="495260"/>
                                  <w:sz w:val="16"/>
                                  <w:szCs w:val="21"/>
                                </w:rPr>
                                <w:t>The District will notify the student and the student’s family in writing of the right to appeal denial of Program enrollment to the Board of Education; and</w:t>
                              </w:r>
                            </w:p>
                            <w:p w:rsidR="00726B43" w:rsidRPr="00726B43" w:rsidRDefault="00726B43" w:rsidP="00726B43">
                              <w:pPr>
                                <w:widowControl/>
                                <w:numPr>
                                  <w:ilvl w:val="0"/>
                                  <w:numId w:val="2"/>
                                </w:numPr>
                                <w:autoSpaceDE/>
                                <w:autoSpaceDN/>
                                <w:spacing w:before="100" w:beforeAutospacing="1" w:after="100" w:afterAutospacing="1"/>
                                <w:jc w:val="both"/>
                                <w:rPr>
                                  <w:rFonts w:ascii="Tahoma" w:eastAsia="Times New Roman" w:hAnsi="Tahoma" w:cs="Tahoma"/>
                                  <w:color w:val="495260"/>
                                  <w:sz w:val="16"/>
                                  <w:szCs w:val="21"/>
                                </w:rPr>
                              </w:pPr>
                              <w:r w:rsidRPr="00726B43">
                                <w:rPr>
                                  <w:rFonts w:ascii="Tahoma" w:eastAsia="Times New Roman" w:hAnsi="Tahoma" w:cs="Tahoma"/>
                                  <w:color w:val="495260"/>
                                  <w:sz w:val="16"/>
                                  <w:szCs w:val="21"/>
                                </w:rPr>
                                <w:t>The family will be given an opportunity to present the reasons for their appeal to the Board at an official Board meeting; and</w:t>
                              </w:r>
                            </w:p>
                            <w:p w:rsidR="00726B43" w:rsidRPr="00726B43" w:rsidRDefault="00726B43" w:rsidP="00726B43">
                              <w:pPr>
                                <w:widowControl/>
                                <w:numPr>
                                  <w:ilvl w:val="0"/>
                                  <w:numId w:val="2"/>
                                </w:numPr>
                                <w:autoSpaceDE/>
                                <w:autoSpaceDN/>
                                <w:spacing w:before="100" w:beforeAutospacing="1" w:after="100" w:afterAutospacing="1"/>
                                <w:jc w:val="both"/>
                                <w:rPr>
                                  <w:rFonts w:ascii="Tahoma" w:eastAsia="Times New Roman" w:hAnsi="Tahoma" w:cs="Tahoma"/>
                                  <w:color w:val="495260"/>
                                  <w:sz w:val="16"/>
                                  <w:szCs w:val="21"/>
                                </w:rPr>
                              </w:pPr>
                              <w:r w:rsidRPr="00726B43">
                                <w:rPr>
                                  <w:rFonts w:ascii="Tahoma" w:eastAsia="Times New Roman" w:hAnsi="Tahoma" w:cs="Tahoma"/>
                                  <w:color w:val="495260"/>
                                  <w:sz w:val="16"/>
                                  <w:szCs w:val="21"/>
                                </w:rPr>
                                <w:t>The District, at such Board meeting, will provide the basis for its determination that Program enrollment was not in the student’s best educational interest; and</w:t>
                              </w:r>
                            </w:p>
                            <w:p w:rsidR="00726B43" w:rsidRPr="00726B43" w:rsidRDefault="00726B43" w:rsidP="00726B43">
                              <w:pPr>
                                <w:widowControl/>
                                <w:numPr>
                                  <w:ilvl w:val="0"/>
                                  <w:numId w:val="2"/>
                                </w:numPr>
                                <w:autoSpaceDE/>
                                <w:autoSpaceDN/>
                                <w:spacing w:before="100" w:beforeAutospacing="1" w:after="100" w:afterAutospacing="1"/>
                                <w:jc w:val="both"/>
                                <w:rPr>
                                  <w:rFonts w:ascii="Tahoma" w:eastAsia="Times New Roman" w:hAnsi="Tahoma" w:cs="Tahoma"/>
                                  <w:color w:val="495260"/>
                                  <w:sz w:val="16"/>
                                  <w:szCs w:val="21"/>
                                </w:rPr>
                              </w:pPr>
                              <w:r w:rsidRPr="00726B43">
                                <w:rPr>
                                  <w:rFonts w:ascii="Tahoma" w:eastAsia="Times New Roman" w:hAnsi="Tahoma" w:cs="Tahoma"/>
                                  <w:color w:val="495260"/>
                                  <w:sz w:val="16"/>
                                  <w:szCs w:val="21"/>
                                </w:rPr>
                                <w:t>The written submissions by the family and the District will be incorporated into Board minutes; and</w:t>
                              </w:r>
                            </w:p>
                            <w:p w:rsidR="00726B43" w:rsidRPr="00726B43" w:rsidRDefault="00726B43" w:rsidP="00726B43">
                              <w:pPr>
                                <w:widowControl/>
                                <w:numPr>
                                  <w:ilvl w:val="0"/>
                                  <w:numId w:val="2"/>
                                </w:numPr>
                                <w:autoSpaceDE/>
                                <w:autoSpaceDN/>
                                <w:spacing w:before="100" w:beforeAutospacing="1" w:after="100" w:afterAutospacing="1"/>
                                <w:jc w:val="both"/>
                                <w:rPr>
                                  <w:rFonts w:ascii="Tahoma" w:eastAsia="Times New Roman" w:hAnsi="Tahoma" w:cs="Tahoma"/>
                                  <w:color w:val="495260"/>
                                  <w:sz w:val="16"/>
                                  <w:szCs w:val="21"/>
                                </w:rPr>
                              </w:pPr>
                              <w:r w:rsidRPr="00726B43">
                                <w:rPr>
                                  <w:rFonts w:ascii="Tahoma" w:eastAsia="Times New Roman" w:hAnsi="Tahoma" w:cs="Tahoma"/>
                                  <w:color w:val="495260"/>
                                  <w:sz w:val="16"/>
                                  <w:szCs w:val="21"/>
                                </w:rPr>
                                <w:t>The Board’s written decision and the reason for that decision will be provided to the family within thirty (30) days of such Board meeting; and</w:t>
                              </w:r>
                            </w:p>
                            <w:p w:rsidR="00726B43" w:rsidRPr="00726B43" w:rsidRDefault="00726B43" w:rsidP="00726B43">
                              <w:pPr>
                                <w:widowControl/>
                                <w:numPr>
                                  <w:ilvl w:val="0"/>
                                  <w:numId w:val="2"/>
                                </w:numPr>
                                <w:autoSpaceDE/>
                                <w:autoSpaceDN/>
                                <w:spacing w:before="100" w:beforeAutospacing="1" w:after="100" w:afterAutospacing="1"/>
                                <w:jc w:val="both"/>
                                <w:rPr>
                                  <w:rFonts w:ascii="Tahoma" w:eastAsia="Times New Roman" w:hAnsi="Tahoma" w:cs="Tahoma"/>
                                  <w:color w:val="495260"/>
                                  <w:sz w:val="16"/>
                                  <w:szCs w:val="21"/>
                                </w:rPr>
                              </w:pPr>
                              <w:r w:rsidRPr="00726B43">
                                <w:rPr>
                                  <w:rFonts w:ascii="Tahoma" w:eastAsia="Times New Roman" w:hAnsi="Tahoma" w:cs="Tahoma"/>
                                  <w:color w:val="495260"/>
                                  <w:sz w:val="16"/>
                                  <w:szCs w:val="21"/>
                                </w:rPr>
                                <w:t>The family may appeal the Board’s determination to the Department of Elementary and Secondary Education. The Department shall provide their decision within seven (7) calendar days.</w:t>
                              </w:r>
                            </w:p>
                            <w:p w:rsidR="00726B43" w:rsidRPr="00726B43" w:rsidRDefault="00726B43" w:rsidP="00726B43">
                              <w:pPr>
                                <w:widowControl/>
                                <w:autoSpaceDE/>
                                <w:autoSpaceDN/>
                                <w:spacing w:after="240"/>
                                <w:jc w:val="both"/>
                                <w:rPr>
                                  <w:rFonts w:ascii="Tahoma" w:eastAsia="Times New Roman" w:hAnsi="Tahoma" w:cs="Tahoma"/>
                                  <w:color w:val="495260"/>
                                  <w:sz w:val="16"/>
                                  <w:szCs w:val="21"/>
                                </w:rPr>
                              </w:pPr>
                              <w:r w:rsidRPr="00726B43">
                                <w:rPr>
                                  <w:rFonts w:ascii="Tahoma" w:eastAsia="Times New Roman" w:hAnsi="Tahoma" w:cs="Tahoma"/>
                                  <w:color w:val="495260"/>
                                  <w:sz w:val="16"/>
                                  <w:szCs w:val="21"/>
                                </w:rPr>
                                <w:t>Program credits previously earned by a student transferring into the District will be accepted by the District.  Students who are participating in a Program course at the time of transfer shall continue in the course with the District assessing future monthly payments.</w:t>
                              </w:r>
                              <w:r w:rsidR="00670D42">
                                <w:rPr>
                                  <w:rFonts w:ascii="Tahoma" w:eastAsia="Times New Roman" w:hAnsi="Tahoma" w:cs="Tahoma"/>
                                  <w:color w:val="495260"/>
                                  <w:sz w:val="16"/>
                                  <w:szCs w:val="21"/>
                                </w:rPr>
                                <w:t xml:space="preserve"> </w:t>
                              </w:r>
                              <w:bookmarkStart w:id="0" w:name="_GoBack"/>
                              <w:bookmarkEnd w:id="0"/>
                              <w:r w:rsidRPr="00726B43">
                                <w:rPr>
                                  <w:rFonts w:ascii="Tahoma" w:eastAsia="Times New Roman" w:hAnsi="Tahoma" w:cs="Tahoma"/>
                                  <w:color w:val="495260"/>
                                  <w:sz w:val="16"/>
                                  <w:szCs w:val="21"/>
                                </w:rPr>
                                <w:t>Home school and private students wishing to take additional courses beyond their school’s regular course load will be permitted to enroll in Program courses under an agreement, including the student’s payment of tuition or course fees.</w:t>
                              </w:r>
                            </w:p>
                            <w:p w:rsidR="00726B43" w:rsidRPr="00726B43" w:rsidRDefault="00726B43" w:rsidP="00726B43">
                              <w:pPr>
                                <w:widowControl/>
                                <w:autoSpaceDE/>
                                <w:autoSpaceDN/>
                                <w:spacing w:after="240"/>
                                <w:jc w:val="both"/>
                                <w:rPr>
                                  <w:rFonts w:ascii="Tahoma" w:eastAsia="Times New Roman" w:hAnsi="Tahoma" w:cs="Tahoma"/>
                                  <w:color w:val="495260"/>
                                  <w:sz w:val="16"/>
                                  <w:szCs w:val="21"/>
                                </w:rPr>
                              </w:pPr>
                              <w:r w:rsidRPr="00670D42">
                                <w:rPr>
                                  <w:rFonts w:ascii="Tahoma" w:eastAsia="Times New Roman" w:hAnsi="Tahoma" w:cs="Tahoma"/>
                                  <w:b/>
                                  <w:bCs/>
                                  <w:color w:val="495260"/>
                                  <w:sz w:val="16"/>
                                  <w:szCs w:val="21"/>
                                </w:rPr>
                                <w:lastRenderedPageBreak/>
                                <w:t>B. Payment for Program Courses</w:t>
                              </w:r>
                            </w:p>
                            <w:p w:rsidR="00726B43" w:rsidRPr="00726B43" w:rsidRDefault="00726B43" w:rsidP="00726B43">
                              <w:pPr>
                                <w:widowControl/>
                                <w:autoSpaceDE/>
                                <w:autoSpaceDN/>
                                <w:spacing w:after="240"/>
                                <w:jc w:val="both"/>
                                <w:rPr>
                                  <w:rFonts w:ascii="Tahoma" w:eastAsia="Times New Roman" w:hAnsi="Tahoma" w:cs="Tahoma"/>
                                  <w:color w:val="495260"/>
                                  <w:sz w:val="16"/>
                                  <w:szCs w:val="21"/>
                                </w:rPr>
                              </w:pPr>
                              <w:r w:rsidRPr="00726B43">
                                <w:rPr>
                                  <w:rFonts w:ascii="Tahoma" w:eastAsia="Times New Roman" w:hAnsi="Tahoma" w:cs="Tahoma"/>
                                  <w:color w:val="495260"/>
                                  <w:sz w:val="16"/>
                                  <w:szCs w:val="21"/>
                                </w:rPr>
                                <w:t>Cost associated with Program courses shall be paid by the District for students satisfying subsection (1) of this Regulation 6190.  Payments will be made on a monthly cost basis prorated over the semester enrolled. Payments will be made directly to the Program contract provider. Such payments per semester will not exceed the market cost, but in no case more than 7% of the state adequacy target per semester. In the event a Program participant discontinues their enrollment, the District will discontinue monthly payments made on the student’s behalf.</w:t>
                              </w:r>
                            </w:p>
                            <w:p w:rsidR="00726B43" w:rsidRPr="00726B43" w:rsidRDefault="00726B43" w:rsidP="00726B43">
                              <w:pPr>
                                <w:widowControl/>
                                <w:autoSpaceDE/>
                                <w:autoSpaceDN/>
                                <w:spacing w:after="240"/>
                                <w:jc w:val="both"/>
                                <w:rPr>
                                  <w:rFonts w:ascii="Tahoma" w:eastAsia="Times New Roman" w:hAnsi="Tahoma" w:cs="Tahoma"/>
                                  <w:color w:val="495260"/>
                                  <w:sz w:val="16"/>
                                  <w:szCs w:val="21"/>
                                </w:rPr>
                              </w:pPr>
                              <w:r w:rsidRPr="00726B43">
                                <w:rPr>
                                  <w:rFonts w:ascii="Tahoma" w:eastAsia="Times New Roman" w:hAnsi="Tahoma" w:cs="Tahoma"/>
                                  <w:color w:val="495260"/>
                                  <w:sz w:val="16"/>
                                  <w:szCs w:val="21"/>
                                </w:rPr>
                                <w:t>In the case of a student who is a candidate for A+ tuition reimbursement and who is enrolled in a Program course, the District will attribute no less than ninety-five (95%) percent attendance to any such student who has successfully completed such Program course. K-8 Districts will be required to pay the District for Program attendees residing in the K-8 District.</w:t>
                              </w:r>
                            </w:p>
                            <w:p w:rsidR="00726B43" w:rsidRPr="00726B43" w:rsidRDefault="00726B43" w:rsidP="00726B43">
                              <w:pPr>
                                <w:widowControl/>
                                <w:autoSpaceDE/>
                                <w:autoSpaceDN/>
                                <w:spacing w:after="240"/>
                                <w:jc w:val="both"/>
                                <w:rPr>
                                  <w:rFonts w:ascii="Tahoma" w:eastAsia="Times New Roman" w:hAnsi="Tahoma" w:cs="Tahoma"/>
                                  <w:color w:val="495260"/>
                                  <w:sz w:val="16"/>
                                  <w:szCs w:val="21"/>
                                </w:rPr>
                              </w:pPr>
                              <w:r w:rsidRPr="00670D42">
                                <w:rPr>
                                  <w:rFonts w:ascii="Tahoma" w:eastAsia="Times New Roman" w:hAnsi="Tahoma" w:cs="Tahoma"/>
                                  <w:b/>
                                  <w:bCs/>
                                  <w:color w:val="495260"/>
                                  <w:sz w:val="16"/>
                                  <w:szCs w:val="21"/>
                                </w:rPr>
                                <w:t>C. Program Course Evaluation</w:t>
                              </w:r>
                            </w:p>
                            <w:p w:rsidR="00726B43" w:rsidRPr="00726B43" w:rsidRDefault="00726B43" w:rsidP="00726B43">
                              <w:pPr>
                                <w:widowControl/>
                                <w:autoSpaceDE/>
                                <w:autoSpaceDN/>
                                <w:spacing w:after="240"/>
                                <w:jc w:val="both"/>
                                <w:rPr>
                                  <w:rFonts w:ascii="Tahoma" w:eastAsia="Times New Roman" w:hAnsi="Tahoma" w:cs="Tahoma"/>
                                  <w:color w:val="495260"/>
                                  <w:sz w:val="16"/>
                                  <w:szCs w:val="21"/>
                                </w:rPr>
                              </w:pPr>
                              <w:r w:rsidRPr="00726B43">
                                <w:rPr>
                                  <w:rFonts w:ascii="Tahoma" w:eastAsia="Times New Roman" w:hAnsi="Tahoma" w:cs="Tahoma"/>
                                  <w:color w:val="495260"/>
                                  <w:sz w:val="16"/>
                                  <w:szCs w:val="21"/>
                                </w:rPr>
                                <w:t>The District will consider recommendations made by DESE relative to a student’s continued Program enrollment.  Based in part on DESE’s recommendations, the District may terminate or alter a course offering if the District, in its reasonable discretion, determines that the Program course(s) is not meeting the student’s educational needs.</w:t>
                              </w:r>
                            </w:p>
                            <w:p w:rsidR="00726B43" w:rsidRPr="00726B43" w:rsidRDefault="00726B43" w:rsidP="00726B43">
                              <w:pPr>
                                <w:widowControl/>
                                <w:autoSpaceDE/>
                                <w:autoSpaceDN/>
                                <w:spacing w:after="240"/>
                                <w:jc w:val="both"/>
                                <w:rPr>
                                  <w:rFonts w:ascii="Tahoma" w:eastAsia="Times New Roman" w:hAnsi="Tahoma" w:cs="Tahoma"/>
                                  <w:color w:val="495260"/>
                                  <w:sz w:val="16"/>
                                  <w:szCs w:val="21"/>
                                </w:rPr>
                              </w:pPr>
                              <w:r w:rsidRPr="00726B43">
                                <w:rPr>
                                  <w:rFonts w:ascii="Tahoma" w:eastAsia="Times New Roman" w:hAnsi="Tahoma" w:cs="Tahoma"/>
                                  <w:color w:val="495260"/>
                                  <w:sz w:val="16"/>
                                  <w:szCs w:val="21"/>
                                </w:rPr>
                                <w:t>Independently, the District will monitor student progress and success in Program courses.  The District will annually provide DESE with feedback regarding Program course quality.</w:t>
                              </w:r>
                            </w:p>
                            <w:p w:rsidR="00726B43" w:rsidRPr="00726B43" w:rsidRDefault="00726B43" w:rsidP="00726B43">
                              <w:pPr>
                                <w:widowControl/>
                                <w:autoSpaceDE/>
                                <w:autoSpaceDN/>
                                <w:spacing w:after="240"/>
                                <w:jc w:val="both"/>
                                <w:rPr>
                                  <w:rFonts w:ascii="Tahoma" w:eastAsia="Times New Roman" w:hAnsi="Tahoma" w:cs="Tahoma"/>
                                  <w:color w:val="495260"/>
                                  <w:sz w:val="16"/>
                                  <w:szCs w:val="21"/>
                                </w:rPr>
                              </w:pPr>
                              <w:r w:rsidRPr="00726B43">
                                <w:rPr>
                                  <w:rFonts w:ascii="Tahoma" w:eastAsia="Times New Roman" w:hAnsi="Tahoma" w:cs="Tahoma"/>
                                  <w:color w:val="495260"/>
                                  <w:sz w:val="16"/>
                                  <w:szCs w:val="21"/>
                                </w:rPr>
                                <w:t>The District is not obligated to provide computers, equipment or internet access except for eligible students with a disability in compliance with federal and state law.</w:t>
                              </w:r>
                            </w:p>
                            <w:p w:rsidR="00726B43" w:rsidRPr="00726B43" w:rsidRDefault="00726B43" w:rsidP="00726B43">
                              <w:pPr>
                                <w:widowControl/>
                                <w:autoSpaceDE/>
                                <w:autoSpaceDN/>
                                <w:spacing w:after="240"/>
                                <w:jc w:val="both"/>
                                <w:rPr>
                                  <w:rFonts w:ascii="Tahoma" w:eastAsia="Times New Roman" w:hAnsi="Tahoma" w:cs="Tahoma"/>
                                  <w:color w:val="495260"/>
                                  <w:sz w:val="16"/>
                                  <w:szCs w:val="21"/>
                                </w:rPr>
                              </w:pPr>
                              <w:r w:rsidRPr="00726B43">
                                <w:rPr>
                                  <w:rFonts w:ascii="Tahoma" w:eastAsia="Times New Roman" w:hAnsi="Tahoma" w:cs="Tahoma"/>
                                  <w:color w:val="495260"/>
                                  <w:sz w:val="16"/>
                                  <w:szCs w:val="21"/>
                                </w:rPr>
                                <w:t>The District will include students’ enrollment in the Program in determining the District’s average daily attendance (ADA).  For students enrolled in the Program on a part-time basis, ADA will be calculated as a percentage of the total number of Program courses in which the student is enrolled by the number of courses required for full-time students. </w:t>
                              </w:r>
                            </w:p>
                            <w:p w:rsidR="00726B43" w:rsidRPr="00726B43" w:rsidRDefault="00726B43" w:rsidP="00726B43">
                              <w:pPr>
                                <w:widowControl/>
                                <w:autoSpaceDE/>
                                <w:autoSpaceDN/>
                                <w:spacing w:after="240"/>
                                <w:jc w:val="both"/>
                                <w:rPr>
                                  <w:rFonts w:ascii="Tahoma" w:eastAsia="Times New Roman" w:hAnsi="Tahoma" w:cs="Tahoma"/>
                                  <w:color w:val="495260"/>
                                  <w:sz w:val="16"/>
                                  <w:szCs w:val="21"/>
                                </w:rPr>
                              </w:pPr>
                              <w:r w:rsidRPr="00670D42">
                                <w:rPr>
                                  <w:rFonts w:ascii="Tahoma" w:eastAsia="Times New Roman" w:hAnsi="Tahoma" w:cs="Tahoma"/>
                                  <w:b/>
                                  <w:bCs/>
                                  <w:color w:val="495260"/>
                                  <w:sz w:val="16"/>
                                  <w:szCs w:val="21"/>
                                </w:rPr>
                                <w:t>D. Notice</w:t>
                              </w:r>
                            </w:p>
                            <w:p w:rsidR="00726B43" w:rsidRPr="00726B43" w:rsidRDefault="00726B43" w:rsidP="00726B43">
                              <w:pPr>
                                <w:widowControl/>
                                <w:autoSpaceDE/>
                                <w:autoSpaceDN/>
                                <w:spacing w:after="240"/>
                                <w:jc w:val="both"/>
                                <w:rPr>
                                  <w:rFonts w:ascii="Tahoma" w:eastAsia="Times New Roman" w:hAnsi="Tahoma" w:cs="Tahoma"/>
                                  <w:color w:val="495260"/>
                                  <w:sz w:val="16"/>
                                  <w:szCs w:val="21"/>
                                </w:rPr>
                              </w:pPr>
                              <w:r w:rsidRPr="00726B43">
                                <w:rPr>
                                  <w:rFonts w:ascii="Tahoma" w:eastAsia="Times New Roman" w:hAnsi="Tahoma" w:cs="Tahoma"/>
                                  <w:color w:val="495260"/>
                                  <w:sz w:val="16"/>
                                  <w:szCs w:val="21"/>
                                </w:rPr>
                                <w:t>The District will inform District parents of their child’s right to participate in the Program.  Opportunity to participate in the Program will be provided in parent handbooks, registration documents and on the homepage of the District’s website.</w:t>
                              </w:r>
                            </w:p>
                          </w:tc>
                        </w:tr>
                        <w:tr w:rsidR="00726B43" w:rsidRPr="00726B43">
                          <w:trPr>
                            <w:tblCellSpacing w:w="0" w:type="dxa"/>
                          </w:trPr>
                          <w:tc>
                            <w:tcPr>
                              <w:tcW w:w="0" w:type="auto"/>
                              <w:vAlign w:val="center"/>
                              <w:hideMark/>
                            </w:tcPr>
                            <w:p w:rsidR="00726B43" w:rsidRPr="00726B43" w:rsidRDefault="00726B43" w:rsidP="00726B43">
                              <w:pPr>
                                <w:widowControl/>
                                <w:autoSpaceDE/>
                                <w:autoSpaceDN/>
                                <w:rPr>
                                  <w:rFonts w:ascii="Tahoma" w:eastAsia="Times New Roman" w:hAnsi="Tahoma" w:cs="Tahoma"/>
                                  <w:color w:val="495260"/>
                                  <w:sz w:val="16"/>
                                  <w:szCs w:val="21"/>
                                </w:rPr>
                              </w:pPr>
                              <w:r w:rsidRPr="00726B43">
                                <w:rPr>
                                  <w:rFonts w:ascii="Tahoma" w:eastAsia="Times New Roman" w:hAnsi="Tahoma" w:cs="Tahoma"/>
                                  <w:color w:val="495260"/>
                                  <w:sz w:val="16"/>
                                  <w:szCs w:val="21"/>
                                </w:rPr>
                                <w:lastRenderedPageBreak/>
                                <w:t> </w:t>
                              </w:r>
                            </w:p>
                          </w:tc>
                        </w:tr>
                      </w:tbl>
                      <w:p w:rsidR="00726B43" w:rsidRPr="00726B43" w:rsidRDefault="00726B43" w:rsidP="00726B43">
                        <w:pPr>
                          <w:widowControl/>
                          <w:autoSpaceDE/>
                          <w:autoSpaceDN/>
                          <w:rPr>
                            <w:rFonts w:ascii="Tahoma" w:eastAsia="Times New Roman" w:hAnsi="Tahoma" w:cs="Tahoma"/>
                            <w:color w:val="495260"/>
                            <w:sz w:val="16"/>
                            <w:szCs w:val="21"/>
                          </w:rPr>
                        </w:pPr>
                      </w:p>
                    </w:tc>
                  </w:tr>
                  <w:tr w:rsidR="00726B43" w:rsidRPr="00726B43" w:rsidTr="00726B43">
                    <w:trPr>
                      <w:tblCellSpacing w:w="0" w:type="dxa"/>
                      <w:jc w:val="center"/>
                    </w:trPr>
                    <w:tc>
                      <w:tcPr>
                        <w:tcW w:w="0" w:type="auto"/>
                        <w:vAlign w:val="center"/>
                        <w:hideMark/>
                      </w:tcPr>
                      <w:p w:rsidR="00726B43" w:rsidRPr="00726B43" w:rsidRDefault="00726B43" w:rsidP="00726B43">
                        <w:pPr>
                          <w:widowControl/>
                          <w:autoSpaceDE/>
                          <w:autoSpaceDN/>
                          <w:rPr>
                            <w:rFonts w:ascii="Tahoma" w:eastAsia="Times New Roman" w:hAnsi="Tahoma" w:cs="Tahoma"/>
                            <w:color w:val="495260"/>
                            <w:sz w:val="16"/>
                            <w:szCs w:val="21"/>
                          </w:rPr>
                        </w:pPr>
                        <w:r w:rsidRPr="00726B43">
                          <w:rPr>
                            <w:rFonts w:ascii="Tahoma" w:eastAsia="Times New Roman" w:hAnsi="Tahoma" w:cs="Tahoma"/>
                            <w:color w:val="495260"/>
                            <w:sz w:val="16"/>
                            <w:szCs w:val="21"/>
                          </w:rPr>
                          <w:lastRenderedPageBreak/>
                          <w:t> </w:t>
                        </w:r>
                      </w:p>
                    </w:tc>
                    <w:tc>
                      <w:tcPr>
                        <w:tcW w:w="0" w:type="auto"/>
                        <w:vAlign w:val="center"/>
                        <w:hideMark/>
                      </w:tcPr>
                      <w:p w:rsidR="00726B43" w:rsidRPr="00726B43" w:rsidRDefault="00726B43" w:rsidP="00726B43">
                        <w:pPr>
                          <w:widowControl/>
                          <w:autoSpaceDE/>
                          <w:autoSpaceDN/>
                          <w:rPr>
                            <w:rFonts w:ascii="Times New Roman" w:eastAsia="Times New Roman" w:hAnsi="Times New Roman" w:cs="Times New Roman"/>
                            <w:sz w:val="14"/>
                            <w:szCs w:val="20"/>
                          </w:rPr>
                        </w:pPr>
                      </w:p>
                    </w:tc>
                  </w:tr>
                  <w:tr w:rsidR="00726B43" w:rsidRPr="00726B43" w:rsidTr="00726B43">
                    <w:trPr>
                      <w:tblCellSpacing w:w="0" w:type="dxa"/>
                      <w:jc w:val="center"/>
                    </w:trPr>
                    <w:tc>
                      <w:tcPr>
                        <w:tcW w:w="0" w:type="auto"/>
                        <w:vAlign w:val="center"/>
                        <w:hideMark/>
                      </w:tcPr>
                      <w:p w:rsidR="00726B43" w:rsidRPr="00726B43" w:rsidRDefault="00726B43" w:rsidP="00726B43">
                        <w:pPr>
                          <w:widowControl/>
                          <w:autoSpaceDE/>
                          <w:autoSpaceDN/>
                          <w:rPr>
                            <w:rFonts w:ascii="Tahoma" w:eastAsia="Times New Roman" w:hAnsi="Tahoma" w:cs="Tahoma"/>
                            <w:b/>
                            <w:bCs/>
                            <w:color w:val="345863"/>
                            <w:sz w:val="12"/>
                            <w:szCs w:val="18"/>
                          </w:rPr>
                        </w:pPr>
                        <w:r w:rsidRPr="00726B43">
                          <w:rPr>
                            <w:rFonts w:ascii="Tahoma" w:eastAsia="Times New Roman" w:hAnsi="Tahoma" w:cs="Tahoma"/>
                            <w:b/>
                            <w:bCs/>
                            <w:color w:val="345863"/>
                            <w:sz w:val="12"/>
                            <w:szCs w:val="18"/>
                          </w:rPr>
                          <w:t>Last modified: October 29, 2020</w:t>
                        </w:r>
                      </w:p>
                    </w:tc>
                    <w:tc>
                      <w:tcPr>
                        <w:tcW w:w="0" w:type="auto"/>
                        <w:vAlign w:val="center"/>
                        <w:hideMark/>
                      </w:tcPr>
                      <w:p w:rsidR="00726B43" w:rsidRPr="00726B43" w:rsidRDefault="00726B43" w:rsidP="00726B43">
                        <w:pPr>
                          <w:widowControl/>
                          <w:autoSpaceDE/>
                          <w:autoSpaceDN/>
                          <w:rPr>
                            <w:rFonts w:ascii="Times New Roman" w:eastAsia="Times New Roman" w:hAnsi="Times New Roman" w:cs="Times New Roman"/>
                            <w:sz w:val="14"/>
                            <w:szCs w:val="20"/>
                          </w:rPr>
                        </w:pPr>
                      </w:p>
                    </w:tc>
                  </w:tr>
                  <w:tr w:rsidR="00726B43" w:rsidRPr="00726B43" w:rsidTr="00726B43">
                    <w:trPr>
                      <w:tblCellSpacing w:w="0" w:type="dxa"/>
                      <w:jc w:val="center"/>
                    </w:trPr>
                    <w:tc>
                      <w:tcPr>
                        <w:tcW w:w="0" w:type="auto"/>
                        <w:vAlign w:val="center"/>
                        <w:hideMark/>
                      </w:tcPr>
                      <w:p w:rsidR="00726B43" w:rsidRPr="00726B43" w:rsidRDefault="00726B43" w:rsidP="00726B43">
                        <w:pPr>
                          <w:widowControl/>
                          <w:autoSpaceDE/>
                          <w:autoSpaceDN/>
                          <w:rPr>
                            <w:rFonts w:ascii="Tahoma" w:eastAsia="Times New Roman" w:hAnsi="Tahoma" w:cs="Tahoma"/>
                            <w:color w:val="495260"/>
                            <w:sz w:val="16"/>
                            <w:szCs w:val="21"/>
                          </w:rPr>
                        </w:pPr>
                        <w:r w:rsidRPr="00726B43">
                          <w:rPr>
                            <w:rFonts w:ascii="Tahoma" w:eastAsia="Times New Roman" w:hAnsi="Tahoma" w:cs="Tahoma"/>
                            <w:noProof/>
                            <w:color w:val="495260"/>
                            <w:sz w:val="16"/>
                            <w:szCs w:val="21"/>
                          </w:rPr>
                          <w:drawing>
                            <wp:inline distT="0" distB="0" distL="0" distR="0" wp14:anchorId="16763300" wp14:editId="4F8F4A0F">
                              <wp:extent cx="7239000" cy="190500"/>
                              <wp:effectExtent l="0" t="0" r="0" b="0"/>
                              <wp:docPr id="1" name="Picture 1" descr="https://www.moconed.com/images/homepage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oconed.com/images/homepage05.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0" cy="190500"/>
                                      </a:xfrm>
                                      <a:prstGeom prst="rect">
                                        <a:avLst/>
                                      </a:prstGeom>
                                      <a:noFill/>
                                      <a:ln>
                                        <a:noFill/>
                                      </a:ln>
                                    </pic:spPr>
                                  </pic:pic>
                                </a:graphicData>
                              </a:graphic>
                            </wp:inline>
                          </w:drawing>
                        </w:r>
                      </w:p>
                    </w:tc>
                    <w:tc>
                      <w:tcPr>
                        <w:tcW w:w="0" w:type="auto"/>
                        <w:vAlign w:val="center"/>
                        <w:hideMark/>
                      </w:tcPr>
                      <w:p w:rsidR="00726B43" w:rsidRPr="00726B43" w:rsidRDefault="00726B43" w:rsidP="00726B43">
                        <w:pPr>
                          <w:widowControl/>
                          <w:autoSpaceDE/>
                          <w:autoSpaceDN/>
                          <w:rPr>
                            <w:rFonts w:ascii="Times New Roman" w:eastAsia="Times New Roman" w:hAnsi="Times New Roman" w:cs="Times New Roman"/>
                            <w:sz w:val="14"/>
                            <w:szCs w:val="20"/>
                          </w:rPr>
                        </w:pPr>
                      </w:p>
                    </w:tc>
                  </w:tr>
                </w:tbl>
                <w:p w:rsidR="00726B43" w:rsidRPr="00726B43" w:rsidRDefault="00726B43" w:rsidP="00726B43">
                  <w:pPr>
                    <w:widowControl/>
                    <w:autoSpaceDE/>
                    <w:autoSpaceDN/>
                    <w:rPr>
                      <w:rFonts w:ascii="Times New Roman" w:eastAsia="Times New Roman" w:hAnsi="Times New Roman" w:cs="Times New Roman"/>
                      <w:vanish/>
                      <w:sz w:val="18"/>
                      <w:szCs w:val="24"/>
                    </w:rPr>
                  </w:pPr>
                </w:p>
                <w:tbl>
                  <w:tblPr>
                    <w:tblW w:w="9120" w:type="dxa"/>
                    <w:tblCellSpacing w:w="15" w:type="dxa"/>
                    <w:tblCellMar>
                      <w:top w:w="15" w:type="dxa"/>
                      <w:left w:w="15" w:type="dxa"/>
                      <w:bottom w:w="15" w:type="dxa"/>
                      <w:right w:w="15" w:type="dxa"/>
                    </w:tblCellMar>
                    <w:tblLook w:val="04A0" w:firstRow="1" w:lastRow="0" w:firstColumn="1" w:lastColumn="0" w:noHBand="0" w:noVBand="1"/>
                  </w:tblPr>
                  <w:tblGrid>
                    <w:gridCol w:w="9120"/>
                  </w:tblGrid>
                  <w:tr w:rsidR="00726B43" w:rsidRPr="00726B43" w:rsidTr="00726B43">
                    <w:trPr>
                      <w:tblCellSpacing w:w="15" w:type="dxa"/>
                    </w:trPr>
                    <w:tc>
                      <w:tcPr>
                        <w:tcW w:w="0" w:type="auto"/>
                        <w:vAlign w:val="center"/>
                        <w:hideMark/>
                      </w:tcPr>
                      <w:p w:rsidR="00726B43" w:rsidRPr="00726B43" w:rsidRDefault="00726B43" w:rsidP="00726B43">
                        <w:pPr>
                          <w:widowControl/>
                          <w:autoSpaceDE/>
                          <w:autoSpaceDN/>
                          <w:jc w:val="center"/>
                          <w:rPr>
                            <w:rFonts w:ascii="Tahoma" w:eastAsia="Times New Roman" w:hAnsi="Tahoma" w:cs="Tahoma"/>
                            <w:color w:val="495260"/>
                            <w:sz w:val="16"/>
                            <w:szCs w:val="21"/>
                          </w:rPr>
                        </w:pPr>
                        <w:hyperlink r:id="rId7" w:history="1">
                          <w:r w:rsidRPr="00670D42">
                            <w:rPr>
                              <w:rFonts w:ascii="Tahoma" w:eastAsia="Times New Roman" w:hAnsi="Tahoma" w:cs="Tahoma"/>
                              <w:color w:val="368EA9"/>
                              <w:sz w:val="16"/>
                              <w:szCs w:val="21"/>
                            </w:rPr>
                            <w:t>View Form(s)</w:t>
                          </w:r>
                        </w:hyperlink>
                        <w:r w:rsidRPr="00726B43">
                          <w:rPr>
                            <w:rFonts w:ascii="Tahoma" w:eastAsia="Times New Roman" w:hAnsi="Tahoma" w:cs="Tahoma"/>
                            <w:color w:val="495260"/>
                            <w:sz w:val="16"/>
                            <w:szCs w:val="21"/>
                          </w:rPr>
                          <w:t> |  </w:t>
                        </w:r>
                        <w:hyperlink r:id="rId8" w:history="1">
                          <w:r w:rsidRPr="00670D42">
                            <w:rPr>
                              <w:rFonts w:ascii="Tahoma" w:eastAsia="Times New Roman" w:hAnsi="Tahoma" w:cs="Tahoma"/>
                              <w:color w:val="368EA9"/>
                              <w:sz w:val="16"/>
                              <w:szCs w:val="21"/>
                            </w:rPr>
                            <w:t>View Policy</w:t>
                          </w:r>
                        </w:hyperlink>
                      </w:p>
                    </w:tc>
                  </w:tr>
                </w:tbl>
                <w:p w:rsidR="00726B43" w:rsidRPr="00726B43" w:rsidRDefault="00726B43" w:rsidP="00726B43">
                  <w:pPr>
                    <w:widowControl/>
                    <w:autoSpaceDE/>
                    <w:autoSpaceDN/>
                    <w:spacing w:after="240"/>
                    <w:jc w:val="both"/>
                    <w:rPr>
                      <w:rFonts w:ascii="Tahoma" w:eastAsia="Times New Roman" w:hAnsi="Tahoma" w:cs="Tahoma"/>
                      <w:color w:val="495260"/>
                      <w:sz w:val="16"/>
                      <w:szCs w:val="21"/>
                    </w:rPr>
                  </w:pPr>
                </w:p>
              </w:tc>
            </w:tr>
          </w:tbl>
          <w:p w:rsidR="00726B43" w:rsidRPr="00726B43" w:rsidRDefault="00726B43" w:rsidP="00726B43">
            <w:pPr>
              <w:widowControl/>
              <w:autoSpaceDE/>
              <w:autoSpaceDN/>
              <w:rPr>
                <w:rFonts w:ascii="Tahoma" w:eastAsia="Times New Roman" w:hAnsi="Tahoma" w:cs="Tahoma"/>
                <w:color w:val="495260"/>
                <w:sz w:val="16"/>
                <w:szCs w:val="21"/>
              </w:rPr>
            </w:pPr>
          </w:p>
        </w:tc>
      </w:tr>
    </w:tbl>
    <w:p w:rsidR="00726B43" w:rsidRPr="00670D42" w:rsidRDefault="00726B43">
      <w:pPr>
        <w:pStyle w:val="BodyText"/>
        <w:spacing w:line="285" w:lineRule="auto"/>
        <w:rPr>
          <w:sz w:val="16"/>
        </w:rPr>
      </w:pPr>
    </w:p>
    <w:sectPr w:rsidR="00726B43" w:rsidRPr="00670D42">
      <w:type w:val="continuous"/>
      <w:pgSz w:w="12190" w:h="15850"/>
      <w:pgMar w:top="1360" w:right="130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E2AEB"/>
    <w:multiLevelType w:val="multilevel"/>
    <w:tmpl w:val="4656D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BF0EE5"/>
    <w:multiLevelType w:val="multilevel"/>
    <w:tmpl w:val="31F25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4AE"/>
    <w:rsid w:val="00670D42"/>
    <w:rsid w:val="00726B43"/>
    <w:rsid w:val="00891AA4"/>
    <w:rsid w:val="008D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0"/>
      <w:ind w:left="103" w:right="46" w:firstLine="7"/>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26B43"/>
    <w:rPr>
      <w:rFonts w:ascii="Tahoma" w:hAnsi="Tahoma" w:cs="Tahoma"/>
      <w:sz w:val="16"/>
      <w:szCs w:val="16"/>
    </w:rPr>
  </w:style>
  <w:style w:type="character" w:customStyle="1" w:styleId="BalloonTextChar">
    <w:name w:val="Balloon Text Char"/>
    <w:basedOn w:val="DefaultParagraphFont"/>
    <w:link w:val="BalloonText"/>
    <w:uiPriority w:val="99"/>
    <w:semiHidden/>
    <w:rsid w:val="00726B43"/>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0"/>
      <w:ind w:left="103" w:right="46" w:firstLine="7"/>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26B43"/>
    <w:rPr>
      <w:rFonts w:ascii="Tahoma" w:hAnsi="Tahoma" w:cs="Tahoma"/>
      <w:sz w:val="16"/>
      <w:szCs w:val="16"/>
    </w:rPr>
  </w:style>
  <w:style w:type="character" w:customStyle="1" w:styleId="BalloonTextChar">
    <w:name w:val="Balloon Text Char"/>
    <w:basedOn w:val="DefaultParagraphFont"/>
    <w:link w:val="BalloonText"/>
    <w:uiPriority w:val="99"/>
    <w:semiHidden/>
    <w:rsid w:val="00726B43"/>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783338">
      <w:bodyDiv w:val="1"/>
      <w:marLeft w:val="0"/>
      <w:marRight w:val="0"/>
      <w:marTop w:val="0"/>
      <w:marBottom w:val="0"/>
      <w:divBdr>
        <w:top w:val="none" w:sz="0" w:space="0" w:color="auto"/>
        <w:left w:val="none" w:sz="0" w:space="0" w:color="auto"/>
        <w:bottom w:val="none" w:sz="0" w:space="0" w:color="auto"/>
        <w:right w:val="none" w:sz="0" w:space="0" w:color="auto"/>
      </w:divBdr>
    </w:div>
    <w:div w:id="1687638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oconed.com/policy.php?action=ind&amp;polID=1540&amp;catID=7" TargetMode="External"/><Relationship Id="rId3" Type="http://schemas.microsoft.com/office/2007/relationships/stylesWithEffects" Target="stylesWithEffects.xml"/><Relationship Id="rId7" Type="http://schemas.openxmlformats.org/officeDocument/2006/relationships/hyperlink" Target="https://www.moconed.com/form.php?action=ind&amp;polID=1540&amp;catID=7&amp;formRows=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Holland</dc:creator>
  <cp:lastModifiedBy>Tammy Holland</cp:lastModifiedBy>
  <cp:revision>2</cp:revision>
  <dcterms:created xsi:type="dcterms:W3CDTF">2021-01-06T16:37:00Z</dcterms:created>
  <dcterms:modified xsi:type="dcterms:W3CDTF">2021-01-06T16:37:00Z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PFU ScanSnap Home 1.9.1 #iX1500</vt:lpwstr>
  </property>
  <property fmtid="{D5CDD505-2E9C-101B-9397-08002B2CF9AE}" pid="4" name="LastSaved">
    <vt:filetime>2021-01-06T00:00:00Z</vt:filetime>
  </property>
</Properties>
</file>